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F3022A">
        <w:rPr>
          <w:rFonts w:cs="Arial"/>
          <w:b/>
          <w:sz w:val="24"/>
          <w:szCs w:val="24"/>
        </w:rPr>
        <w:t>JUEVES</w:t>
      </w:r>
      <w:r w:rsidR="006F0D61">
        <w:rPr>
          <w:rFonts w:cs="Arial"/>
          <w:b/>
          <w:sz w:val="24"/>
          <w:szCs w:val="24"/>
        </w:rPr>
        <w:t xml:space="preserve"> </w:t>
      </w:r>
      <w:r w:rsidR="00906C9C">
        <w:rPr>
          <w:rFonts w:cs="Arial"/>
          <w:b/>
          <w:sz w:val="24"/>
          <w:szCs w:val="24"/>
        </w:rPr>
        <w:t>16</w:t>
      </w:r>
      <w:r w:rsidR="006E3B3C">
        <w:rPr>
          <w:rFonts w:cs="Arial"/>
          <w:b/>
          <w:sz w:val="24"/>
          <w:szCs w:val="24"/>
        </w:rPr>
        <w:t xml:space="preserve"> DE JUNIO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906C9C">
        <w:rPr>
          <w:rFonts w:cs="Arial"/>
          <w:sz w:val="24"/>
          <w:szCs w:val="24"/>
        </w:rPr>
        <w:t>16</w:t>
      </w:r>
      <w:r w:rsidR="006E3B3C">
        <w:rPr>
          <w:rFonts w:cs="Arial"/>
          <w:sz w:val="24"/>
          <w:szCs w:val="24"/>
        </w:rPr>
        <w:t xml:space="preserve"> de Junio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F3022A" w:rsidRDefault="00F3022A" w:rsidP="002A1A49">
      <w:pPr>
        <w:rPr>
          <w:rFonts w:cs="Arial"/>
          <w:sz w:val="24"/>
          <w:szCs w:val="24"/>
        </w:rPr>
      </w:pP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F3022A" w:rsidRPr="002A1A49" w:rsidRDefault="00F3022A" w:rsidP="002A1A49">
      <w:pPr>
        <w:rPr>
          <w:rFonts w:cs="Arial"/>
          <w:sz w:val="24"/>
          <w:szCs w:val="24"/>
        </w:rPr>
      </w:pP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906C9C" w:rsidRPr="002A1A49" w:rsidRDefault="00906C9C" w:rsidP="002A1A49">
      <w:pPr>
        <w:pStyle w:val="Prrafodelista"/>
        <w:numPr>
          <w:ilvl w:val="0"/>
          <w:numId w:val="1"/>
        </w:numPr>
        <w:jc w:val="both"/>
        <w:rPr>
          <w:rFonts w:ascii="Arial" w:hAnsi="Arial" w:cs="Arial"/>
          <w:sz w:val="24"/>
          <w:szCs w:val="24"/>
        </w:rPr>
      </w:pPr>
      <w:r>
        <w:rPr>
          <w:rFonts w:ascii="Arial" w:hAnsi="Arial" w:cs="Arial"/>
          <w:sz w:val="24"/>
          <w:szCs w:val="24"/>
        </w:rPr>
        <w:t>Revisión, discusión y, en su caso, confirmar, modificar o revocar la iniciativa de reserva de información en cuanto al Convenio Modificatorio del Convenio de transacción, dación en pago, constitución de garantías y cumplimiento en ejecución de sentencia, suscrito por el Ayuntamiento Constitucional de Puerto Vallarta, Jalisco y Tecnología de Proyectos Inmobiliarios, Sociedad Anónima de Capital Variable derivada de la solicitud de información 398/2016.</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F3022A" w:rsidRDefault="00F3022A" w:rsidP="002A1A49">
      <w:pPr>
        <w:rPr>
          <w:rFonts w:cs="Arial"/>
          <w:sz w:val="24"/>
          <w:szCs w:val="24"/>
        </w:rPr>
      </w:pPr>
    </w:p>
    <w:p w:rsidR="00906C9C" w:rsidRDefault="00906C9C" w:rsidP="00906C9C">
      <w:pPr>
        <w:rPr>
          <w:rFonts w:cs="Arial"/>
          <w:b/>
          <w:sz w:val="24"/>
          <w:szCs w:val="24"/>
        </w:rPr>
      </w:pPr>
      <w:r w:rsidRPr="00906C9C">
        <w:rPr>
          <w:rFonts w:cs="Arial"/>
          <w:b/>
          <w:sz w:val="24"/>
          <w:szCs w:val="24"/>
        </w:rPr>
        <w:t xml:space="preserve">3.- </w:t>
      </w:r>
      <w:r w:rsidRPr="00906C9C">
        <w:rPr>
          <w:rFonts w:cs="Arial"/>
          <w:b/>
          <w:sz w:val="24"/>
          <w:szCs w:val="24"/>
        </w:rPr>
        <w:t xml:space="preserve">Revisión, discusión y, en su caso, confirmar, modificar o revocar la iniciativa de reserva de información en cuanto al Convenio Modificatorio del Convenio de transacción, dación en pago, constitución de garantías y cumplimiento en ejecución de sentencia, suscrito por el Ayuntamiento Constitucional de Puerto Vallarta, Jalisco </w:t>
      </w:r>
      <w:r w:rsidRPr="00906C9C">
        <w:rPr>
          <w:rFonts w:cs="Arial"/>
          <w:b/>
          <w:sz w:val="24"/>
          <w:szCs w:val="24"/>
        </w:rPr>
        <w:lastRenderedPageBreak/>
        <w:t>y Tecnología de Proyectos Inmobiliarios, Socie</w:t>
      </w:r>
      <w:r>
        <w:rPr>
          <w:rFonts w:cs="Arial"/>
          <w:b/>
          <w:sz w:val="24"/>
          <w:szCs w:val="24"/>
        </w:rPr>
        <w:t xml:space="preserve">dad Anónima de Capital Variable </w:t>
      </w:r>
      <w:r w:rsidRPr="00906C9C">
        <w:rPr>
          <w:rFonts w:cs="Arial"/>
          <w:b/>
          <w:sz w:val="24"/>
          <w:szCs w:val="24"/>
        </w:rPr>
        <w:t>derivada de la solicitud de información 398/2016.</w:t>
      </w:r>
    </w:p>
    <w:p w:rsidR="00906C9C" w:rsidRDefault="00906C9C" w:rsidP="00906C9C">
      <w:pPr>
        <w:rPr>
          <w:rFonts w:cs="Arial"/>
          <w:b/>
          <w:sz w:val="24"/>
          <w:szCs w:val="24"/>
        </w:rPr>
      </w:pPr>
    </w:p>
    <w:p w:rsidR="00906C9C" w:rsidRPr="00CC5C43" w:rsidRDefault="00906C9C" w:rsidP="00906C9C">
      <w:pPr>
        <w:rPr>
          <w:rFonts w:cs="Arial"/>
          <w:sz w:val="24"/>
          <w:szCs w:val="24"/>
        </w:rPr>
      </w:pPr>
      <w:r w:rsidRPr="00CC5C43">
        <w:rPr>
          <w:rFonts w:cs="Arial"/>
          <w:sz w:val="24"/>
          <w:szCs w:val="24"/>
        </w:rPr>
        <w:t>La Secretaria del Comité comentó que derivado de la solicitud de información identificada con número de expediente 398/2016 y de conformidad con el artículo 18 de la Ley de Transparencia, es necesidad del Comité sesionar para negar el acceso o entrega de información reservada a un solicitante.</w:t>
      </w:r>
    </w:p>
    <w:p w:rsidR="00906C9C" w:rsidRPr="00CC5C43" w:rsidRDefault="00906C9C" w:rsidP="00906C9C">
      <w:pPr>
        <w:rPr>
          <w:rFonts w:cs="Arial"/>
          <w:sz w:val="24"/>
          <w:szCs w:val="24"/>
        </w:rPr>
      </w:pPr>
    </w:p>
    <w:p w:rsidR="00906C9C" w:rsidRPr="00CC5C43" w:rsidRDefault="00906C9C" w:rsidP="00906C9C">
      <w:pPr>
        <w:rPr>
          <w:rFonts w:cs="Arial"/>
          <w:sz w:val="24"/>
          <w:szCs w:val="24"/>
        </w:rPr>
      </w:pPr>
      <w:r w:rsidRPr="00CC5C43">
        <w:rPr>
          <w:rFonts w:cs="Arial"/>
          <w:sz w:val="24"/>
          <w:szCs w:val="24"/>
        </w:rPr>
        <w:t xml:space="preserve">Asimismo, el artículo 61 de la Ley estipula que el procedimiento de clasificación inicial de información pública se debe realizar </w:t>
      </w:r>
      <w:r w:rsidR="007932B2" w:rsidRPr="00CC5C43">
        <w:rPr>
          <w:rFonts w:cs="Arial"/>
          <w:sz w:val="24"/>
          <w:szCs w:val="24"/>
        </w:rPr>
        <w:t>por los titulares de cada una de las áreas o unidades administrativas del sujeto obligado, por lo que la Sindicatura y la Dirección Jurídica emitieron los números de oficio SMPVR/505/2016 y DJPVR/0541/2016 respectivamente en el cual exponen sus argumentos, fundamentación y motivaciones para que el presente Comité considera y elabore la prueba de daño correspondiente.</w:t>
      </w:r>
    </w:p>
    <w:p w:rsidR="007932B2" w:rsidRPr="00CC5C43" w:rsidRDefault="007932B2" w:rsidP="00906C9C">
      <w:pPr>
        <w:rPr>
          <w:rFonts w:cs="Arial"/>
          <w:sz w:val="24"/>
          <w:szCs w:val="24"/>
        </w:rPr>
      </w:pPr>
    </w:p>
    <w:p w:rsidR="007932B2" w:rsidRPr="00CC5C43" w:rsidRDefault="00E474A2" w:rsidP="00906C9C">
      <w:pPr>
        <w:rPr>
          <w:rFonts w:cs="Arial"/>
          <w:sz w:val="24"/>
          <w:szCs w:val="24"/>
        </w:rPr>
      </w:pPr>
      <w:r w:rsidRPr="00CC5C43">
        <w:rPr>
          <w:rFonts w:cs="Arial"/>
          <w:sz w:val="24"/>
          <w:szCs w:val="24"/>
        </w:rPr>
        <w:t>La Sindicatura y la Dirección Jurídica argumentan que la difusión de la información ahora requerida afecta y pone en riesgo la estabilidad financiera y económica de este Ayuntamiento de Puerto Vallarta conforme al artículo 17.1.b), riesgo que supera al interés público general de dar a conocer esa información toda vez que el convenio</w:t>
      </w:r>
      <w:r w:rsidR="00CC76F6" w:rsidRPr="00CC5C43">
        <w:rPr>
          <w:rFonts w:cs="Arial"/>
          <w:sz w:val="24"/>
          <w:szCs w:val="24"/>
        </w:rPr>
        <w:t xml:space="preserve"> es producto</w:t>
      </w:r>
      <w:r w:rsidRPr="00CC5C43">
        <w:rPr>
          <w:rFonts w:cs="Arial"/>
          <w:sz w:val="24"/>
          <w:szCs w:val="24"/>
        </w:rPr>
        <w:t xml:space="preserve"> de una sentencia que el Ayuntamiento debe cumplir de conformidad a lo ahí estipulado, y que </w:t>
      </w:r>
      <w:r w:rsidR="00CC76F6" w:rsidRPr="00CC5C43">
        <w:rPr>
          <w:rFonts w:cs="Arial"/>
          <w:sz w:val="24"/>
          <w:szCs w:val="24"/>
        </w:rPr>
        <w:t xml:space="preserve">de </w:t>
      </w:r>
      <w:r w:rsidRPr="00CC5C43">
        <w:rPr>
          <w:rFonts w:cs="Arial"/>
          <w:sz w:val="24"/>
          <w:szCs w:val="24"/>
        </w:rPr>
        <w:t>llegar a dar a conocer la información</w:t>
      </w:r>
      <w:r w:rsidR="00CC76F6" w:rsidRPr="00CC5C43">
        <w:rPr>
          <w:rFonts w:cs="Arial"/>
          <w:sz w:val="24"/>
          <w:szCs w:val="24"/>
        </w:rPr>
        <w:t xml:space="preserve"> que ahí se contiene</w:t>
      </w:r>
      <w:r w:rsidRPr="00CC5C43">
        <w:rPr>
          <w:rFonts w:cs="Arial"/>
          <w:sz w:val="24"/>
          <w:szCs w:val="24"/>
        </w:rPr>
        <w:t xml:space="preserve"> puede llegar a obstaculizar o entorpecer el acatamiento del mismo, el cuál traería como consecuencia el pago directo de la suma monetaria </w:t>
      </w:r>
      <w:r w:rsidR="00CC76F6" w:rsidRPr="00CC5C43">
        <w:rPr>
          <w:rFonts w:cs="Arial"/>
          <w:sz w:val="24"/>
          <w:szCs w:val="24"/>
        </w:rPr>
        <w:t xml:space="preserve">estipulada </w:t>
      </w:r>
      <w:r w:rsidRPr="00CC5C43">
        <w:rPr>
          <w:rFonts w:cs="Arial"/>
          <w:sz w:val="24"/>
          <w:szCs w:val="24"/>
        </w:rPr>
        <w:t>como el pago de intereses moratorios y pago de daños y perjuicios</w:t>
      </w:r>
      <w:r w:rsidR="004D44FC" w:rsidRPr="00CC5C43">
        <w:rPr>
          <w:rFonts w:cs="Arial"/>
          <w:sz w:val="24"/>
          <w:szCs w:val="24"/>
        </w:rPr>
        <w:t>.</w:t>
      </w:r>
    </w:p>
    <w:p w:rsidR="004D44FC" w:rsidRPr="00CC5C43" w:rsidRDefault="004D44FC" w:rsidP="00906C9C">
      <w:pPr>
        <w:rPr>
          <w:rFonts w:cs="Arial"/>
          <w:sz w:val="24"/>
          <w:szCs w:val="24"/>
        </w:rPr>
      </w:pPr>
    </w:p>
    <w:p w:rsidR="004D44FC" w:rsidRPr="00CC5C43" w:rsidRDefault="004D44FC" w:rsidP="00906C9C">
      <w:pPr>
        <w:rPr>
          <w:rFonts w:cs="Arial"/>
          <w:sz w:val="24"/>
          <w:szCs w:val="24"/>
        </w:rPr>
      </w:pPr>
      <w:r w:rsidRPr="00CC5C43">
        <w:rPr>
          <w:rFonts w:cs="Arial"/>
          <w:sz w:val="24"/>
          <w:szCs w:val="24"/>
        </w:rPr>
        <w:t>El Comité teniendo a la vista el documento solicitado, proporcionado por la Sindicatura y la Direcci</w:t>
      </w:r>
      <w:r w:rsidR="005A7582" w:rsidRPr="00CC5C43">
        <w:rPr>
          <w:rFonts w:cs="Arial"/>
          <w:sz w:val="24"/>
          <w:szCs w:val="24"/>
        </w:rPr>
        <w:t>ón Jurídica</w:t>
      </w:r>
      <w:r w:rsidRPr="00CC5C43">
        <w:rPr>
          <w:rFonts w:cs="Arial"/>
          <w:sz w:val="24"/>
          <w:szCs w:val="24"/>
        </w:rPr>
        <w:t xml:space="preserve">, comenta que dicha información </w:t>
      </w:r>
      <w:r w:rsidR="005A7582" w:rsidRPr="00CC5C43">
        <w:rPr>
          <w:rFonts w:cs="Arial"/>
          <w:sz w:val="24"/>
          <w:szCs w:val="24"/>
        </w:rPr>
        <w:t xml:space="preserve"> en efecto pone en riesgo grave la estabilidad financiera del Ayuntamiento porque este documento evidencia cada una de las acciones que deberá cumplir éste para dar cumplimiento a la sentencia dictada. </w:t>
      </w:r>
    </w:p>
    <w:p w:rsidR="005A7582" w:rsidRPr="00CC5C43" w:rsidRDefault="005A7582" w:rsidP="00906C9C">
      <w:pPr>
        <w:rPr>
          <w:rFonts w:cs="Arial"/>
          <w:sz w:val="24"/>
          <w:szCs w:val="24"/>
        </w:rPr>
      </w:pPr>
    </w:p>
    <w:p w:rsidR="005A7582" w:rsidRPr="00CC5C43" w:rsidRDefault="005A7582" w:rsidP="00906C9C">
      <w:pPr>
        <w:rPr>
          <w:rFonts w:cs="Arial"/>
          <w:sz w:val="24"/>
          <w:szCs w:val="24"/>
        </w:rPr>
      </w:pPr>
      <w:r w:rsidRPr="00CC5C43">
        <w:rPr>
          <w:rFonts w:cs="Arial"/>
          <w:sz w:val="24"/>
          <w:szCs w:val="24"/>
        </w:rPr>
        <w:t>Aunado a lo anterior, se produce un perjuicio grave a la sociedad, pues divulgar dicha información sin antes haber dado cumplimiento a lo estipulado en el convenio significa que un tercero pueda realizar acciones diversas a entorpecer el proceso y teniendo como resultado que pagar una fuerte suma monetaria que afectaría al presupuesto disponible del Ayuntamiento teniendo como resultado la imposibilidad de cumplir con las obligaciones estipuladas en el artículo 115 constitucional, es decir, sus consecuencias afectan a la sociedad en general.</w:t>
      </w:r>
    </w:p>
    <w:p w:rsidR="005A7582" w:rsidRPr="00CC5C43" w:rsidRDefault="005A7582" w:rsidP="00906C9C">
      <w:pPr>
        <w:rPr>
          <w:rFonts w:cs="Arial"/>
          <w:sz w:val="24"/>
          <w:szCs w:val="24"/>
        </w:rPr>
      </w:pPr>
    </w:p>
    <w:p w:rsidR="005A7582" w:rsidRPr="00CC5C43" w:rsidRDefault="005A7582" w:rsidP="00906C9C">
      <w:pPr>
        <w:rPr>
          <w:rFonts w:cs="Arial"/>
          <w:sz w:val="24"/>
          <w:szCs w:val="24"/>
        </w:rPr>
      </w:pPr>
      <w:r w:rsidRPr="00CC5C43">
        <w:rPr>
          <w:rFonts w:cs="Arial"/>
          <w:sz w:val="24"/>
          <w:szCs w:val="24"/>
        </w:rPr>
        <w:t>Finalmente, el Comité propone realizar la prueba de daño correspondiente a lo anteriormente expuesto de conformidad con la legislación aplicable, por</w:t>
      </w:r>
      <w:r w:rsidR="00317350" w:rsidRPr="00CC5C43">
        <w:rPr>
          <w:rFonts w:cs="Arial"/>
          <w:sz w:val="24"/>
          <w:szCs w:val="24"/>
        </w:rPr>
        <w:t xml:space="preserve"> lo que se puso a consideración, resultando en lo siguiente:</w:t>
      </w:r>
    </w:p>
    <w:p w:rsidR="00317350" w:rsidRPr="00CC5C43" w:rsidRDefault="00317350" w:rsidP="00906C9C">
      <w:pPr>
        <w:rPr>
          <w:rFonts w:cs="Arial"/>
          <w:sz w:val="24"/>
          <w:szCs w:val="24"/>
        </w:rPr>
      </w:pPr>
    </w:p>
    <w:p w:rsidR="00317350" w:rsidRPr="00CC5C43" w:rsidRDefault="00317350" w:rsidP="00906C9C">
      <w:pPr>
        <w:rPr>
          <w:rFonts w:cs="Arial"/>
          <w:sz w:val="24"/>
          <w:szCs w:val="24"/>
        </w:rPr>
      </w:pPr>
      <w:r w:rsidRPr="00CC5C43">
        <w:rPr>
          <w:rFonts w:cs="Arial"/>
          <w:sz w:val="24"/>
          <w:szCs w:val="24"/>
        </w:rPr>
        <w:t>ELABORACIÓN DE LA PRUEBA DE DAÑO:</w:t>
      </w:r>
    </w:p>
    <w:p w:rsidR="00317350" w:rsidRPr="00CC5C43" w:rsidRDefault="00317350" w:rsidP="00906C9C">
      <w:pPr>
        <w:rPr>
          <w:rFonts w:cs="Arial"/>
          <w:sz w:val="24"/>
          <w:szCs w:val="24"/>
        </w:rPr>
      </w:pPr>
    </w:p>
    <w:p w:rsidR="00317350" w:rsidRPr="00CC5C43" w:rsidRDefault="00317350" w:rsidP="00317350">
      <w:pPr>
        <w:pStyle w:val="Prrafodelista"/>
        <w:numPr>
          <w:ilvl w:val="0"/>
          <w:numId w:val="5"/>
        </w:numPr>
        <w:rPr>
          <w:rFonts w:ascii="Arial" w:hAnsi="Arial" w:cs="Arial"/>
          <w:sz w:val="24"/>
          <w:szCs w:val="24"/>
        </w:rPr>
      </w:pPr>
      <w:r w:rsidRPr="00CC5C43">
        <w:rPr>
          <w:rFonts w:ascii="Arial" w:hAnsi="Arial" w:cs="Arial"/>
          <w:sz w:val="24"/>
          <w:szCs w:val="24"/>
        </w:rPr>
        <w:t>Prueba de daño:</w:t>
      </w:r>
    </w:p>
    <w:p w:rsidR="00317350" w:rsidRPr="00CC5C43" w:rsidRDefault="00317350" w:rsidP="00317350">
      <w:pPr>
        <w:pStyle w:val="Prrafodelista"/>
        <w:numPr>
          <w:ilvl w:val="0"/>
          <w:numId w:val="6"/>
        </w:numPr>
        <w:rPr>
          <w:rFonts w:ascii="Arial" w:hAnsi="Arial" w:cs="Arial"/>
          <w:sz w:val="24"/>
          <w:szCs w:val="24"/>
        </w:rPr>
      </w:pPr>
      <w:r w:rsidRPr="00CC5C43">
        <w:rPr>
          <w:rFonts w:ascii="Arial" w:hAnsi="Arial" w:cs="Arial"/>
          <w:sz w:val="24"/>
          <w:szCs w:val="24"/>
        </w:rPr>
        <w:t>Hipótesis de reserva que establece la Ley:</w:t>
      </w:r>
    </w:p>
    <w:p w:rsidR="00317350" w:rsidRPr="00CC5C43" w:rsidRDefault="00317350" w:rsidP="00317350">
      <w:pPr>
        <w:pStyle w:val="Prrafodelista"/>
        <w:ind w:left="1440"/>
        <w:rPr>
          <w:rFonts w:ascii="Arial" w:hAnsi="Arial" w:cs="Arial"/>
          <w:sz w:val="24"/>
          <w:szCs w:val="24"/>
        </w:rPr>
      </w:pPr>
      <w:r w:rsidRPr="00CC5C43">
        <w:rPr>
          <w:rFonts w:ascii="Arial" w:hAnsi="Arial" w:cs="Arial"/>
          <w:sz w:val="24"/>
          <w:szCs w:val="24"/>
        </w:rPr>
        <w:t>“Ley de Transparencia y Acceso a la Información Pública del Estado de Jalisco y sus Municipios”</w:t>
      </w:r>
    </w:p>
    <w:p w:rsidR="00317350" w:rsidRPr="00CC5C43" w:rsidRDefault="00317350" w:rsidP="00317350">
      <w:pPr>
        <w:pStyle w:val="Prrafodelista"/>
        <w:ind w:left="1440"/>
        <w:rPr>
          <w:rFonts w:ascii="Arial" w:hAnsi="Arial" w:cs="Arial"/>
          <w:sz w:val="24"/>
          <w:szCs w:val="24"/>
        </w:rPr>
      </w:pPr>
      <w:r w:rsidRPr="00CC5C43">
        <w:rPr>
          <w:rFonts w:ascii="Arial" w:hAnsi="Arial" w:cs="Arial"/>
          <w:sz w:val="24"/>
          <w:szCs w:val="24"/>
        </w:rPr>
        <w:t>Artículo 17. Información reservada- Catálogo</w:t>
      </w:r>
    </w:p>
    <w:p w:rsidR="00317350" w:rsidRPr="00CC5C43" w:rsidRDefault="00317350" w:rsidP="00317350">
      <w:pPr>
        <w:pStyle w:val="Prrafodelista"/>
        <w:numPr>
          <w:ilvl w:val="0"/>
          <w:numId w:val="7"/>
        </w:numPr>
        <w:rPr>
          <w:rFonts w:ascii="Arial" w:hAnsi="Arial" w:cs="Arial"/>
          <w:sz w:val="24"/>
          <w:szCs w:val="24"/>
        </w:rPr>
      </w:pPr>
      <w:r w:rsidRPr="00CC5C43">
        <w:rPr>
          <w:rFonts w:ascii="Arial" w:hAnsi="Arial" w:cs="Arial"/>
          <w:sz w:val="24"/>
          <w:szCs w:val="24"/>
        </w:rPr>
        <w:t>Es información reservada:</w:t>
      </w:r>
    </w:p>
    <w:p w:rsidR="00317350" w:rsidRPr="00CC5C43" w:rsidRDefault="00317350" w:rsidP="00317350">
      <w:pPr>
        <w:pStyle w:val="Prrafodelista"/>
        <w:numPr>
          <w:ilvl w:val="0"/>
          <w:numId w:val="10"/>
        </w:numPr>
        <w:rPr>
          <w:rFonts w:ascii="Arial" w:hAnsi="Arial" w:cs="Arial"/>
          <w:sz w:val="24"/>
          <w:szCs w:val="24"/>
        </w:rPr>
      </w:pPr>
      <w:r w:rsidRPr="00CC5C43">
        <w:rPr>
          <w:rFonts w:ascii="Arial" w:hAnsi="Arial" w:cs="Arial"/>
          <w:sz w:val="24"/>
          <w:szCs w:val="24"/>
        </w:rPr>
        <w:t>Aquella información pública, cuya difusión:…</w:t>
      </w:r>
    </w:p>
    <w:p w:rsidR="00317350" w:rsidRPr="00CC5C43" w:rsidRDefault="00317350" w:rsidP="00317350">
      <w:pPr>
        <w:pStyle w:val="Prrafodelista"/>
        <w:ind w:left="2520"/>
        <w:rPr>
          <w:rFonts w:ascii="Arial" w:hAnsi="Arial" w:cs="Arial"/>
          <w:sz w:val="24"/>
          <w:szCs w:val="24"/>
        </w:rPr>
      </w:pPr>
      <w:r w:rsidRPr="00CC5C43">
        <w:rPr>
          <w:rFonts w:ascii="Arial" w:hAnsi="Arial" w:cs="Arial"/>
          <w:sz w:val="24"/>
          <w:szCs w:val="24"/>
        </w:rPr>
        <w:t>b)</w:t>
      </w:r>
      <w:r w:rsidR="001746CB" w:rsidRPr="00CC5C43">
        <w:rPr>
          <w:rFonts w:ascii="Arial" w:hAnsi="Arial" w:cs="Arial"/>
          <w:sz w:val="24"/>
          <w:szCs w:val="24"/>
        </w:rPr>
        <w:t xml:space="preserve"> </w:t>
      </w:r>
      <w:r w:rsidRPr="00CC5C43">
        <w:rPr>
          <w:rFonts w:ascii="Arial" w:hAnsi="Arial" w:cs="Arial"/>
          <w:sz w:val="24"/>
          <w:szCs w:val="24"/>
        </w:rPr>
        <w:t>Dañe la estabilidad financiera o económica del estado o de los municipios…”</w:t>
      </w:r>
    </w:p>
    <w:p w:rsidR="001746CB" w:rsidRPr="00CC5C43" w:rsidRDefault="00317350" w:rsidP="00317350">
      <w:pPr>
        <w:ind w:firstLine="708"/>
        <w:rPr>
          <w:rFonts w:cs="Arial"/>
          <w:sz w:val="24"/>
          <w:szCs w:val="24"/>
        </w:rPr>
      </w:pPr>
      <w:r w:rsidRPr="00CC5C43">
        <w:rPr>
          <w:rFonts w:cs="Arial"/>
          <w:sz w:val="24"/>
          <w:szCs w:val="24"/>
        </w:rPr>
        <w:t>II-</w:t>
      </w:r>
      <w:r w:rsidRPr="00CC5C43">
        <w:rPr>
          <w:rFonts w:cs="Arial"/>
          <w:sz w:val="24"/>
          <w:szCs w:val="24"/>
        </w:rPr>
        <w:tab/>
        <w:t xml:space="preserve">Perjuicios al interés público protegido por la ley que causa la revelación de la información: La divulgación de esta información previa que se </w:t>
      </w:r>
      <w:proofErr w:type="spellStart"/>
      <w:r w:rsidRPr="00CC5C43">
        <w:rPr>
          <w:rFonts w:cs="Arial"/>
          <w:sz w:val="24"/>
          <w:szCs w:val="24"/>
        </w:rPr>
        <w:t>de</w:t>
      </w:r>
      <w:proofErr w:type="spellEnd"/>
      <w:r w:rsidRPr="00CC5C43">
        <w:rPr>
          <w:rFonts w:cs="Arial"/>
          <w:sz w:val="24"/>
          <w:szCs w:val="24"/>
        </w:rPr>
        <w:t xml:space="preserve"> cumplimiento a lo estipulado en el convenio, representa un riesgo real, </w:t>
      </w:r>
      <w:r w:rsidRPr="00CC5C43">
        <w:rPr>
          <w:rFonts w:cs="Arial"/>
          <w:sz w:val="24"/>
          <w:szCs w:val="24"/>
        </w:rPr>
        <w:lastRenderedPageBreak/>
        <w:t xml:space="preserve">demostrable e </w:t>
      </w:r>
      <w:proofErr w:type="spellStart"/>
      <w:r w:rsidRPr="00CC5C43">
        <w:rPr>
          <w:rFonts w:cs="Arial"/>
          <w:sz w:val="24"/>
          <w:szCs w:val="24"/>
        </w:rPr>
        <w:t>indentificable</w:t>
      </w:r>
      <w:proofErr w:type="spellEnd"/>
      <w:r w:rsidRPr="00CC5C43">
        <w:rPr>
          <w:rFonts w:cs="Arial"/>
          <w:sz w:val="24"/>
          <w:szCs w:val="24"/>
        </w:rPr>
        <w:t xml:space="preserve"> de perjuicio s</w:t>
      </w:r>
      <w:r w:rsidR="001746CB" w:rsidRPr="00CC5C43">
        <w:rPr>
          <w:rFonts w:cs="Arial"/>
          <w:sz w:val="24"/>
          <w:szCs w:val="24"/>
        </w:rPr>
        <w:t>ignificativo al interés público, en razón de que la divulgación de información puede provocar que las acciones de un tercero obstaculicen la posibilidad de cumplir con la sentencia ya dictada y plasmada en el convenio solicitado y que su posterior incumplimiento genere gastos por pago de sentencia, intereses moratorios y daños y perjuicios que a su vez no permitirían al Ayuntamiento cumplir con sus obligaciones, tales como prestación de servicios, ejecución de obra pública, pagos de nóminas, entre otros.</w:t>
      </w:r>
    </w:p>
    <w:p w:rsidR="001746CB" w:rsidRPr="00CC5C43" w:rsidRDefault="001746CB" w:rsidP="00317350">
      <w:pPr>
        <w:ind w:firstLine="708"/>
        <w:rPr>
          <w:rFonts w:cs="Arial"/>
          <w:sz w:val="24"/>
          <w:szCs w:val="24"/>
        </w:rPr>
      </w:pPr>
    </w:p>
    <w:p w:rsidR="00317350" w:rsidRPr="00CC5C43" w:rsidRDefault="001746CB" w:rsidP="00174874">
      <w:pPr>
        <w:ind w:firstLine="708"/>
        <w:rPr>
          <w:rFonts w:cs="Arial"/>
          <w:sz w:val="24"/>
          <w:szCs w:val="24"/>
        </w:rPr>
      </w:pPr>
      <w:r w:rsidRPr="00CC5C43">
        <w:rPr>
          <w:rFonts w:cs="Arial"/>
          <w:sz w:val="24"/>
          <w:szCs w:val="24"/>
        </w:rPr>
        <w:t xml:space="preserve">III. ¿Por qué el daño de su divulgación es mayor al interés público de conocer dicha información? </w:t>
      </w:r>
      <w:r w:rsidR="00DE7C69" w:rsidRPr="00CC5C43">
        <w:rPr>
          <w:rFonts w:cs="Arial"/>
          <w:sz w:val="24"/>
          <w:szCs w:val="24"/>
        </w:rPr>
        <w:t xml:space="preserve">La divulgación de la información contenida en el convenio señalado provoca un riesgo que supera al interés público de conocer la información, ya que el incumplimiento de la sentencia traería consigo la obligación del </w:t>
      </w:r>
      <w:r w:rsidRPr="00CC5C43">
        <w:rPr>
          <w:rFonts w:cs="Arial"/>
          <w:sz w:val="24"/>
          <w:szCs w:val="24"/>
        </w:rPr>
        <w:t xml:space="preserve"> </w:t>
      </w:r>
      <w:r w:rsidR="00DE7C69" w:rsidRPr="00CC5C43">
        <w:rPr>
          <w:rFonts w:cs="Arial"/>
          <w:sz w:val="24"/>
          <w:szCs w:val="24"/>
        </w:rPr>
        <w:t>Ayuntamiento de pagar de manera inmediata la cantidad por la que se le demandó, más intereses moratorios y pago de daños y perjuicios lo que implica un golpe directo a la estabilidad financiera del municipio y en consecuencia un grave impacto a la sociedad en general ante la imposibilidad de aplicar el presupuesto en las partidas que ya se tenían previstas con anterioridad afectándose servicios, programas, entre otros aspectos fundamentales para la vida cotidiana de los habitantes del municipio.</w:t>
      </w:r>
    </w:p>
    <w:p w:rsidR="00DE7C69" w:rsidRPr="00CC5C43" w:rsidRDefault="00DE7C69" w:rsidP="00174874">
      <w:pPr>
        <w:ind w:firstLine="708"/>
        <w:rPr>
          <w:rFonts w:cs="Arial"/>
          <w:sz w:val="24"/>
          <w:szCs w:val="24"/>
        </w:rPr>
      </w:pPr>
    </w:p>
    <w:p w:rsidR="00DE7C69" w:rsidRPr="00CC5C43" w:rsidRDefault="00DE7C69" w:rsidP="00174874">
      <w:pPr>
        <w:ind w:firstLine="708"/>
        <w:rPr>
          <w:rFonts w:cs="Arial"/>
          <w:sz w:val="24"/>
          <w:szCs w:val="24"/>
        </w:rPr>
      </w:pPr>
      <w:r w:rsidRPr="00CC5C43">
        <w:rPr>
          <w:rFonts w:cs="Arial"/>
          <w:sz w:val="24"/>
          <w:szCs w:val="24"/>
        </w:rPr>
        <w:t>IV. Principio de proporcionalidad. La limitación se adecua al principio de proporcionalidad y representa el medio menos restrictivo posible para evitar en lo posible el perjuicio al solicitante, ya que el periodo de reserva sólo se ajustará al tiempo para que el Ayuntamiento dé cumplimiento a lo convenido.</w:t>
      </w:r>
    </w:p>
    <w:p w:rsidR="00DE7C69" w:rsidRPr="00CC5C43" w:rsidRDefault="00DE7C69" w:rsidP="00174874">
      <w:pPr>
        <w:ind w:firstLine="708"/>
        <w:rPr>
          <w:rFonts w:cs="Arial"/>
          <w:sz w:val="24"/>
          <w:szCs w:val="24"/>
        </w:rPr>
      </w:pPr>
    </w:p>
    <w:p w:rsidR="00DE7C69" w:rsidRPr="00CC5C43" w:rsidRDefault="00DE7C69" w:rsidP="00174874">
      <w:pPr>
        <w:ind w:firstLine="708"/>
        <w:rPr>
          <w:rFonts w:cs="Arial"/>
          <w:sz w:val="24"/>
          <w:szCs w:val="24"/>
        </w:rPr>
      </w:pPr>
      <w:r w:rsidRPr="00CC5C43">
        <w:rPr>
          <w:rFonts w:cs="Arial"/>
          <w:sz w:val="24"/>
          <w:szCs w:val="24"/>
        </w:rPr>
        <w:t xml:space="preserve">DESARROLLO DE CONFOMRIDAD CON EL LINEAMIENTO DÉCIMO SEGUNDO DE LOS </w:t>
      </w:r>
      <w:r w:rsidR="00107FE3" w:rsidRPr="00CC5C43">
        <w:rPr>
          <w:rFonts w:cs="Arial"/>
          <w:sz w:val="24"/>
          <w:szCs w:val="24"/>
        </w:rPr>
        <w:t>LINEAMIENTOS GENERALES EN MATERIA DE CLASIFICACIÓN DE INFORMACIÓN PÚBLICA</w:t>
      </w:r>
    </w:p>
    <w:p w:rsidR="00107FE3" w:rsidRPr="00CC5C43" w:rsidRDefault="00107FE3" w:rsidP="00174874">
      <w:pPr>
        <w:ind w:firstLine="708"/>
        <w:rPr>
          <w:rFonts w:cs="Arial"/>
          <w:sz w:val="24"/>
          <w:szCs w:val="24"/>
        </w:rPr>
      </w:pP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El nombre del sujeto obligado: Ayuntamiento de Puerto Vallarta, Jalisco.</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El área generadora de la información y/o de quien la tenga en su poder: La Sindicatura y la Dirección Jurídica.</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La fecha del acta y el número de acuerdo que se actualiza: No exista acta ni acuerdo previo.</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Los criterios de clasificación de información aplicables: Los Lineamientos Generales en Materia de Clasificación de Información Pública emitidos por el Instituto, los cuales aún se encuentran vigentes.</w:t>
      </w:r>
    </w:p>
    <w:p w:rsidR="00107FE3" w:rsidRPr="00CC5C43" w:rsidRDefault="00107FE3" w:rsidP="00174874">
      <w:pPr>
        <w:pStyle w:val="Prrafodelista"/>
        <w:numPr>
          <w:ilvl w:val="0"/>
          <w:numId w:val="11"/>
        </w:numPr>
        <w:jc w:val="both"/>
        <w:rPr>
          <w:rFonts w:ascii="Arial" w:hAnsi="Arial" w:cs="Arial"/>
          <w:sz w:val="24"/>
          <w:szCs w:val="24"/>
        </w:rPr>
      </w:pPr>
      <w:r w:rsidRPr="00CC5C43">
        <w:rPr>
          <w:rFonts w:ascii="Arial" w:hAnsi="Arial" w:cs="Arial"/>
          <w:sz w:val="24"/>
          <w:szCs w:val="24"/>
        </w:rPr>
        <w:t>El fundamento legal y la motivación:</w:t>
      </w:r>
    </w:p>
    <w:p w:rsidR="00107FE3" w:rsidRPr="00CC5C43" w:rsidRDefault="00107FE3" w:rsidP="00174874">
      <w:pPr>
        <w:pStyle w:val="Prrafodelista"/>
        <w:ind w:left="1428"/>
        <w:jc w:val="both"/>
        <w:rPr>
          <w:rFonts w:ascii="Arial" w:hAnsi="Arial" w:cs="Arial"/>
          <w:sz w:val="24"/>
          <w:szCs w:val="24"/>
        </w:rPr>
      </w:pPr>
      <w:r w:rsidRPr="00CC5C43">
        <w:rPr>
          <w:rFonts w:ascii="Arial" w:hAnsi="Arial" w:cs="Arial"/>
          <w:sz w:val="24"/>
          <w:szCs w:val="24"/>
        </w:rPr>
        <w:t>El anteriormente citado Artículo 17.1. b) de la Ley de Transparencia y Acceso a la Información Pública del Estado de Jalisco y sus Municipios.</w:t>
      </w:r>
    </w:p>
    <w:p w:rsidR="00107FE3" w:rsidRPr="00CC5C43" w:rsidRDefault="00107FE3" w:rsidP="00174874">
      <w:pPr>
        <w:pStyle w:val="Prrafodelista"/>
        <w:ind w:left="1428"/>
        <w:jc w:val="both"/>
        <w:rPr>
          <w:rFonts w:ascii="Arial" w:hAnsi="Arial" w:cs="Arial"/>
          <w:sz w:val="24"/>
          <w:szCs w:val="24"/>
        </w:rPr>
      </w:pPr>
    </w:p>
    <w:p w:rsidR="00107FE3" w:rsidRPr="00CC5C43" w:rsidRDefault="00107FE3" w:rsidP="00174874">
      <w:pPr>
        <w:pStyle w:val="Prrafodelista"/>
        <w:ind w:left="1428"/>
        <w:jc w:val="both"/>
        <w:rPr>
          <w:rFonts w:ascii="Arial" w:hAnsi="Arial" w:cs="Arial"/>
          <w:sz w:val="24"/>
          <w:szCs w:val="24"/>
        </w:rPr>
      </w:pPr>
      <w:r w:rsidRPr="00CC5C43">
        <w:rPr>
          <w:rFonts w:ascii="Arial" w:hAnsi="Arial" w:cs="Arial"/>
          <w:sz w:val="24"/>
          <w:szCs w:val="24"/>
        </w:rPr>
        <w:t xml:space="preserve">MOTIVACIÓN.- </w:t>
      </w:r>
      <w:r w:rsidR="00174874" w:rsidRPr="00CC5C43">
        <w:rPr>
          <w:rFonts w:ascii="Arial" w:hAnsi="Arial" w:cs="Arial"/>
          <w:sz w:val="24"/>
          <w:szCs w:val="24"/>
        </w:rPr>
        <w:t xml:space="preserve"> </w:t>
      </w:r>
      <w:r w:rsidR="00174874" w:rsidRPr="00CC5C43">
        <w:rPr>
          <w:rFonts w:ascii="Arial" w:hAnsi="Arial" w:cs="Arial"/>
          <w:sz w:val="24"/>
          <w:szCs w:val="24"/>
        </w:rPr>
        <w:t xml:space="preserve">La divulgación de la información contenida en el convenio señalado provoca un riesgo que supera al interés público de conocer la información, ya que el incumplimiento de la sentencia traería consigo la obligación del  Ayuntamiento de pagar de manera inmediata la cantidad por la que se le demandó, más intereses moratorios y pago de daños y perjuicios lo que implica un golpe directo a la estabilidad financiera del municipio y en consecuencia un grave impacto a la sociedad en general ante la imposibilidad de aplicar el presupuesto en las partidas que ya se tenían previstas con anterioridad afectándose servicios, programas, entre otros </w:t>
      </w:r>
      <w:r w:rsidR="00174874" w:rsidRPr="00CC5C43">
        <w:rPr>
          <w:rFonts w:ascii="Arial" w:hAnsi="Arial" w:cs="Arial"/>
          <w:sz w:val="24"/>
          <w:szCs w:val="24"/>
        </w:rPr>
        <w:lastRenderedPageBreak/>
        <w:t>aspectos fundamentales para la vida cotidiana de los habitantes del municipio</w:t>
      </w:r>
    </w:p>
    <w:p w:rsidR="00174874" w:rsidRPr="00CC5C43" w:rsidRDefault="00174874" w:rsidP="00174874">
      <w:pPr>
        <w:pStyle w:val="Prrafodelista"/>
        <w:ind w:left="1428"/>
        <w:jc w:val="both"/>
        <w:rPr>
          <w:rFonts w:ascii="Arial" w:hAnsi="Arial" w:cs="Arial"/>
          <w:sz w:val="24"/>
          <w:szCs w:val="24"/>
        </w:rPr>
      </w:pPr>
    </w:p>
    <w:p w:rsidR="00174874" w:rsidRPr="00CC5C43" w:rsidRDefault="00174874" w:rsidP="00174874">
      <w:pPr>
        <w:pStyle w:val="Prrafodelista"/>
        <w:numPr>
          <w:ilvl w:val="0"/>
          <w:numId w:val="11"/>
        </w:numPr>
        <w:jc w:val="both"/>
        <w:rPr>
          <w:rFonts w:ascii="Arial" w:hAnsi="Arial" w:cs="Arial"/>
          <w:sz w:val="24"/>
          <w:szCs w:val="24"/>
        </w:rPr>
      </w:pPr>
      <w:r w:rsidRPr="00CC5C43">
        <w:rPr>
          <w:rFonts w:ascii="Arial" w:hAnsi="Arial" w:cs="Arial"/>
          <w:sz w:val="24"/>
          <w:szCs w:val="24"/>
        </w:rPr>
        <w:t xml:space="preserve">El carácter de reservada y/o confidencial, indicando, en su caso, las partes o páginas del documento en el que consten: el </w:t>
      </w:r>
      <w:r w:rsidRPr="00CC5C43">
        <w:rPr>
          <w:rFonts w:ascii="Arial" w:hAnsi="Arial" w:cs="Arial"/>
          <w:sz w:val="24"/>
          <w:szCs w:val="24"/>
        </w:rPr>
        <w:t>Convenio Modificatorio del Convenio de transacción, dación en pago, constitución de garantías y cumplimiento en ejecución de sentencia, suscrito por el Ayuntamiento Constitucional de Puerto Vallarta, Jalisco y Tecnología de Proyectos Inmobiliarios, Sociedad Anónima de Capital Variable</w:t>
      </w:r>
      <w:r w:rsidRPr="00CC5C43">
        <w:rPr>
          <w:rFonts w:ascii="Arial" w:hAnsi="Arial" w:cs="Arial"/>
          <w:sz w:val="24"/>
          <w:szCs w:val="24"/>
        </w:rPr>
        <w:t xml:space="preserve"> en su totalidad.</w:t>
      </w:r>
    </w:p>
    <w:p w:rsidR="00174874" w:rsidRPr="00CC5C43" w:rsidRDefault="00174874" w:rsidP="00174874">
      <w:pPr>
        <w:pStyle w:val="Prrafodelista"/>
        <w:numPr>
          <w:ilvl w:val="0"/>
          <w:numId w:val="11"/>
        </w:numPr>
        <w:jc w:val="both"/>
        <w:rPr>
          <w:rFonts w:ascii="Arial" w:hAnsi="Arial" w:cs="Arial"/>
          <w:sz w:val="24"/>
          <w:szCs w:val="24"/>
        </w:rPr>
      </w:pPr>
      <w:r w:rsidRPr="00CC5C43">
        <w:rPr>
          <w:rFonts w:ascii="Arial" w:hAnsi="Arial" w:cs="Arial"/>
          <w:sz w:val="24"/>
          <w:szCs w:val="24"/>
        </w:rPr>
        <w:t>La precisión del plazo de reserva, así como su fecha de inicio, debiendo motivar el mismo: La reserva inicia a la fecha de la firma de la presente acta y continuará por un año toda vez que dentro de este periodo es el cual tiene definido el Ayuntamiento para dar cumplimiento a todas las cláusulas del convenio.</w:t>
      </w:r>
    </w:p>
    <w:p w:rsidR="00174874" w:rsidRPr="00CC5C43" w:rsidRDefault="00174874" w:rsidP="00174874">
      <w:pPr>
        <w:pStyle w:val="Prrafodelista"/>
        <w:numPr>
          <w:ilvl w:val="0"/>
          <w:numId w:val="11"/>
        </w:numPr>
        <w:jc w:val="both"/>
        <w:rPr>
          <w:rFonts w:ascii="Arial" w:hAnsi="Arial" w:cs="Arial"/>
          <w:sz w:val="24"/>
          <w:szCs w:val="24"/>
        </w:rPr>
      </w:pPr>
      <w:r w:rsidRPr="00CC5C43">
        <w:rPr>
          <w:rFonts w:ascii="Arial" w:hAnsi="Arial" w:cs="Arial"/>
          <w:sz w:val="24"/>
          <w:szCs w:val="24"/>
        </w:rPr>
        <w:t>La previsión del plazo de confidencialidad, así como su fecha de inicio debiendo motivar el mismo: No aplica en la presente.</w:t>
      </w:r>
    </w:p>
    <w:p w:rsidR="007D7F36" w:rsidRDefault="007D7F36" w:rsidP="007D7F36">
      <w:pPr>
        <w:rPr>
          <w:rFonts w:cs="Arial"/>
          <w:sz w:val="24"/>
          <w:szCs w:val="24"/>
        </w:rPr>
      </w:pPr>
    </w:p>
    <w:p w:rsidR="007D7F36" w:rsidRDefault="007D7F36" w:rsidP="007D7F36">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w:t>
      </w:r>
      <w:r>
        <w:rPr>
          <w:rFonts w:cs="Arial"/>
          <w:sz w:val="24"/>
          <w:szCs w:val="24"/>
        </w:rPr>
        <w:t xml:space="preserve"> reserva estudiada</w:t>
      </w:r>
      <w:r w:rsidRPr="002A1A49">
        <w:rPr>
          <w:rFonts w:cs="Arial"/>
          <w:sz w:val="24"/>
          <w:szCs w:val="24"/>
        </w:rPr>
        <w:t>. Con 3 tres votos a favor y 0 cero en cont</w:t>
      </w:r>
      <w:r>
        <w:rPr>
          <w:rFonts w:cs="Arial"/>
          <w:sz w:val="24"/>
          <w:szCs w:val="24"/>
        </w:rPr>
        <w:t>ra se aprueban la reserva de información.</w:t>
      </w:r>
    </w:p>
    <w:p w:rsidR="007D7F36" w:rsidRPr="007D7F36" w:rsidRDefault="007D7F36" w:rsidP="007D7F36">
      <w:pPr>
        <w:rPr>
          <w:rFonts w:cs="Arial"/>
          <w:sz w:val="24"/>
          <w:szCs w:val="24"/>
        </w:rPr>
      </w:pPr>
    </w:p>
    <w:p w:rsidR="00165653" w:rsidRPr="002A1A49" w:rsidRDefault="00165653" w:rsidP="002A1A49">
      <w:pPr>
        <w:rPr>
          <w:rFonts w:cs="Arial"/>
          <w:sz w:val="24"/>
          <w:szCs w:val="24"/>
        </w:rPr>
      </w:pPr>
    </w:p>
    <w:p w:rsidR="00F057F7" w:rsidRDefault="00906C9C" w:rsidP="002A1A49">
      <w:pPr>
        <w:rPr>
          <w:rFonts w:cs="Arial"/>
          <w:sz w:val="24"/>
          <w:szCs w:val="24"/>
        </w:rPr>
      </w:pPr>
      <w:r>
        <w:rPr>
          <w:rFonts w:cs="Arial"/>
          <w:b/>
          <w:sz w:val="24"/>
          <w:szCs w:val="24"/>
        </w:rPr>
        <w:t>4</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53"/>
        <w:gridCol w:w="2907"/>
      </w:tblGrid>
      <w:tr w:rsidR="002A1A49" w:rsidRPr="00D77A58" w:rsidTr="00F3022A">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653"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907" w:type="dxa"/>
          </w:tcPr>
          <w:p w:rsidR="002A1A49" w:rsidRPr="00D77A58" w:rsidRDefault="002A1A49" w:rsidP="003716F4">
            <w:pPr>
              <w:rPr>
                <w:rFonts w:cs="Arial"/>
                <w:sz w:val="18"/>
                <w:szCs w:val="18"/>
              </w:rPr>
            </w:pPr>
            <w:r w:rsidRPr="00D77A58">
              <w:rPr>
                <w:rFonts w:cs="Arial"/>
                <w:sz w:val="18"/>
                <w:szCs w:val="18"/>
              </w:rPr>
              <w:t>Propuesta de resolución.</w:t>
            </w:r>
          </w:p>
        </w:tc>
      </w:tr>
      <w:tr w:rsidR="006E3B3C" w:rsidRPr="00D77A58" w:rsidTr="00F3022A">
        <w:tc>
          <w:tcPr>
            <w:tcW w:w="1417" w:type="dxa"/>
          </w:tcPr>
          <w:p w:rsidR="00F3022A" w:rsidRDefault="00CC5C43" w:rsidP="008D76C6">
            <w:pPr>
              <w:rPr>
                <w:rFonts w:cs="Arial"/>
                <w:sz w:val="18"/>
                <w:szCs w:val="18"/>
              </w:rPr>
            </w:pPr>
            <w:r>
              <w:rPr>
                <w:rFonts w:cs="Arial"/>
                <w:sz w:val="18"/>
                <w:szCs w:val="18"/>
              </w:rPr>
              <w:t>382/2016 a la 396/2016</w:t>
            </w:r>
          </w:p>
        </w:tc>
        <w:tc>
          <w:tcPr>
            <w:tcW w:w="3653" w:type="dxa"/>
          </w:tcPr>
          <w:p w:rsidR="006E3B3C" w:rsidRPr="006F0D61" w:rsidRDefault="00F3022A" w:rsidP="00F3022A">
            <w:pPr>
              <w:rPr>
                <w:rFonts w:cs="Arial"/>
                <w:sz w:val="18"/>
                <w:szCs w:val="18"/>
              </w:rPr>
            </w:pPr>
            <w:r w:rsidRPr="00F3022A">
              <w:rPr>
                <w:rFonts w:cs="Arial"/>
                <w:sz w:val="18"/>
                <w:szCs w:val="18"/>
              </w:rPr>
              <w:t xml:space="preserve">Se solicita por </w:t>
            </w:r>
            <w:proofErr w:type="spellStart"/>
            <w:r w:rsidRPr="00F3022A">
              <w:rPr>
                <w:rFonts w:cs="Arial"/>
                <w:sz w:val="18"/>
                <w:szCs w:val="18"/>
              </w:rPr>
              <w:t>infomex</w:t>
            </w:r>
            <w:proofErr w:type="spellEnd"/>
            <w:r w:rsidRPr="00F3022A">
              <w:rPr>
                <w:rFonts w:cs="Arial"/>
                <w:sz w:val="18"/>
                <w:szCs w:val="18"/>
              </w:rPr>
              <w:t xml:space="preserve"> la respuesta que dio el ayuntamiento de puerto </w:t>
            </w:r>
            <w:proofErr w:type="spellStart"/>
            <w:r w:rsidRPr="00F3022A">
              <w:rPr>
                <w:rFonts w:cs="Arial"/>
                <w:sz w:val="18"/>
                <w:szCs w:val="18"/>
              </w:rPr>
              <w:t>vallarta</w:t>
            </w:r>
            <w:proofErr w:type="spellEnd"/>
            <w:r w:rsidRPr="00F3022A">
              <w:rPr>
                <w:rFonts w:cs="Arial"/>
                <w:sz w:val="18"/>
                <w:szCs w:val="18"/>
              </w:rPr>
              <w:t xml:space="preserve"> </w:t>
            </w:r>
            <w:proofErr w:type="spellStart"/>
            <w:r w:rsidRPr="00F3022A">
              <w:rPr>
                <w:rFonts w:cs="Arial"/>
                <w:sz w:val="18"/>
                <w:szCs w:val="18"/>
              </w:rPr>
              <w:t>atraves</w:t>
            </w:r>
            <w:proofErr w:type="spellEnd"/>
            <w:r w:rsidRPr="00F3022A">
              <w:rPr>
                <w:rFonts w:cs="Arial"/>
                <w:sz w:val="18"/>
                <w:szCs w:val="18"/>
              </w:rPr>
              <w:t xml:space="preserve"> de desarrollo social la respuesta a la petición del reporte números diversos del comité vecinal del 2012-2016 de la colonia del centro de puerto </w:t>
            </w:r>
            <w:proofErr w:type="spellStart"/>
            <w:r w:rsidRPr="00F3022A">
              <w:rPr>
                <w:rFonts w:cs="Arial"/>
                <w:sz w:val="18"/>
                <w:szCs w:val="18"/>
              </w:rPr>
              <w:t>vallarta</w:t>
            </w:r>
            <w:proofErr w:type="spellEnd"/>
            <w:r w:rsidRPr="00F3022A">
              <w:rPr>
                <w:rFonts w:cs="Arial"/>
                <w:sz w:val="18"/>
                <w:szCs w:val="18"/>
              </w:rPr>
              <w:t xml:space="preserve">, adjunto reglamento en función del </w:t>
            </w:r>
            <w:proofErr w:type="spellStart"/>
            <w:r w:rsidRPr="00F3022A">
              <w:rPr>
                <w:rFonts w:cs="Arial"/>
                <w:sz w:val="18"/>
                <w:szCs w:val="18"/>
              </w:rPr>
              <w:t>perido</w:t>
            </w:r>
            <w:proofErr w:type="spellEnd"/>
          </w:p>
        </w:tc>
        <w:tc>
          <w:tcPr>
            <w:tcW w:w="2907" w:type="dxa"/>
          </w:tcPr>
          <w:p w:rsidR="006E3B3C" w:rsidRPr="00D77A58" w:rsidRDefault="00F3022A"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58E2" w:rsidRPr="00D77A58" w:rsidTr="00F3022A">
        <w:tc>
          <w:tcPr>
            <w:tcW w:w="1417" w:type="dxa"/>
          </w:tcPr>
          <w:p w:rsidR="004D58E2" w:rsidRDefault="004D58E2" w:rsidP="004D58E2">
            <w:pPr>
              <w:rPr>
                <w:rFonts w:cs="Arial"/>
                <w:sz w:val="18"/>
                <w:szCs w:val="18"/>
              </w:rPr>
            </w:pPr>
            <w:r>
              <w:rPr>
                <w:rFonts w:cs="Arial"/>
                <w:sz w:val="18"/>
                <w:szCs w:val="18"/>
              </w:rPr>
              <w:t>380/2016</w:t>
            </w:r>
          </w:p>
        </w:tc>
        <w:tc>
          <w:tcPr>
            <w:tcW w:w="3653" w:type="dxa"/>
          </w:tcPr>
          <w:p w:rsidR="004D58E2" w:rsidRPr="00F3022A" w:rsidRDefault="004D58E2" w:rsidP="004D58E2">
            <w:pPr>
              <w:rPr>
                <w:rFonts w:cs="Arial"/>
                <w:sz w:val="18"/>
                <w:szCs w:val="18"/>
              </w:rPr>
            </w:pPr>
            <w:r>
              <w:rPr>
                <w:rFonts w:cs="Arial"/>
                <w:sz w:val="18"/>
                <w:szCs w:val="18"/>
              </w:rPr>
              <w:t>Copia fotostática de oficio que recayó a la promoción de fecha 22 de Mayo de 2013 firmado por el Lic. Roberto Ascencio Castillo.</w:t>
            </w:r>
          </w:p>
        </w:tc>
        <w:tc>
          <w:tcPr>
            <w:tcW w:w="2907" w:type="dxa"/>
          </w:tcPr>
          <w:p w:rsidR="004D58E2" w:rsidRPr="00D77A58" w:rsidRDefault="004D58E2"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4D58E2" w:rsidRPr="00D77A58" w:rsidTr="00F3022A">
        <w:tc>
          <w:tcPr>
            <w:tcW w:w="1417" w:type="dxa"/>
          </w:tcPr>
          <w:p w:rsidR="004D58E2" w:rsidRDefault="004D58E2" w:rsidP="004D58E2">
            <w:pPr>
              <w:rPr>
                <w:rFonts w:cs="Arial"/>
                <w:sz w:val="18"/>
                <w:szCs w:val="18"/>
              </w:rPr>
            </w:pPr>
            <w:r>
              <w:rPr>
                <w:rFonts w:cs="Arial"/>
                <w:sz w:val="18"/>
                <w:szCs w:val="18"/>
              </w:rPr>
              <w:t>398/2016</w:t>
            </w:r>
          </w:p>
        </w:tc>
        <w:tc>
          <w:tcPr>
            <w:tcW w:w="3653" w:type="dxa"/>
          </w:tcPr>
          <w:p w:rsidR="004D58E2" w:rsidRPr="00F3022A" w:rsidRDefault="004D58E2" w:rsidP="004D58E2">
            <w:pPr>
              <w:rPr>
                <w:rFonts w:cs="Arial"/>
                <w:sz w:val="18"/>
                <w:szCs w:val="18"/>
              </w:rPr>
            </w:pPr>
            <w:r w:rsidRPr="004D58E2">
              <w:rPr>
                <w:rFonts w:cs="Arial"/>
                <w:sz w:val="18"/>
                <w:szCs w:val="18"/>
              </w:rPr>
              <w:t>Convenio de transacción, dación en pago, constitución de garantías y cumplimiento en ejecución de sentencia, suscrito por el Ayuntamiento Constitucional de Puerto Vallarta, Jalisco y Tecnología de Proyectos Inmobiliarios, Sociedad Anónima de Capital Variable</w:t>
            </w:r>
          </w:p>
        </w:tc>
        <w:tc>
          <w:tcPr>
            <w:tcW w:w="2907" w:type="dxa"/>
          </w:tcPr>
          <w:p w:rsidR="004D58E2" w:rsidRPr="00D77A58" w:rsidRDefault="004D58E2" w:rsidP="004D58E2">
            <w:pPr>
              <w:rPr>
                <w:rFonts w:cs="Arial"/>
                <w:sz w:val="18"/>
                <w:szCs w:val="18"/>
              </w:rPr>
            </w:pPr>
            <w:r>
              <w:rPr>
                <w:rFonts w:cs="Arial"/>
                <w:sz w:val="18"/>
                <w:szCs w:val="18"/>
              </w:rPr>
              <w:t>La información tiene carácter reservado por un año de duración por lo que es procedente negar al solicitante</w:t>
            </w:r>
            <w:r w:rsidRPr="00D77A58">
              <w:rPr>
                <w:rFonts w:cs="Arial"/>
                <w:sz w:val="18"/>
                <w:szCs w:val="18"/>
              </w:rPr>
              <w:t>. Notifíquese al solicitante en los términos del Artículo 86 Bis punto 4 de la Ley de Transparencia y Acceso a la Información Pública del Estado de Jalisco y sus Municipios</w:t>
            </w:r>
          </w:p>
        </w:tc>
      </w:tr>
      <w:tr w:rsidR="004D58E2" w:rsidRPr="00D77A58" w:rsidTr="00F3022A">
        <w:tc>
          <w:tcPr>
            <w:tcW w:w="1417" w:type="dxa"/>
          </w:tcPr>
          <w:p w:rsidR="004D58E2" w:rsidRDefault="004D58E2" w:rsidP="004D58E2">
            <w:pPr>
              <w:rPr>
                <w:rFonts w:cs="Arial"/>
                <w:sz w:val="18"/>
                <w:szCs w:val="18"/>
              </w:rPr>
            </w:pPr>
            <w:bookmarkStart w:id="0" w:name="_GoBack" w:colFirst="2" w:colLast="2"/>
            <w:r>
              <w:rPr>
                <w:rFonts w:cs="Arial"/>
                <w:sz w:val="18"/>
                <w:szCs w:val="18"/>
              </w:rPr>
              <w:t>406/2016</w:t>
            </w:r>
          </w:p>
        </w:tc>
        <w:tc>
          <w:tcPr>
            <w:tcW w:w="3653" w:type="dxa"/>
          </w:tcPr>
          <w:p w:rsidR="004D58E2" w:rsidRPr="004D58E2" w:rsidRDefault="004D58E2" w:rsidP="004D58E2">
            <w:pPr>
              <w:rPr>
                <w:rFonts w:cs="Arial"/>
                <w:sz w:val="18"/>
                <w:szCs w:val="18"/>
              </w:rPr>
            </w:pPr>
            <w:r>
              <w:rPr>
                <w:rFonts w:cs="Arial"/>
                <w:sz w:val="18"/>
                <w:szCs w:val="18"/>
              </w:rPr>
              <w:t>Información relativa a exámenes de control de confianza.</w:t>
            </w:r>
          </w:p>
        </w:tc>
        <w:tc>
          <w:tcPr>
            <w:tcW w:w="2907" w:type="dxa"/>
          </w:tcPr>
          <w:p w:rsidR="004D58E2" w:rsidRPr="00D77A58" w:rsidRDefault="004D58E2" w:rsidP="004D58E2">
            <w:pPr>
              <w:rPr>
                <w:rFonts w:cs="Arial"/>
                <w:sz w:val="18"/>
                <w:szCs w:val="18"/>
              </w:rPr>
            </w:pPr>
            <w:r w:rsidRPr="00D77A58">
              <w:rPr>
                <w:rFonts w:cs="Arial"/>
                <w:sz w:val="18"/>
                <w:szCs w:val="18"/>
              </w:rPr>
              <w:t xml:space="preserve">Se confirma la inexistencia por los motivos expuestos en la resolución. Notifíquese al solicitante en los términos del Artículo 86 Bis punto 4 de la Ley </w:t>
            </w:r>
            <w:r w:rsidRPr="00D77A58">
              <w:rPr>
                <w:rFonts w:cs="Arial"/>
                <w:sz w:val="18"/>
                <w:szCs w:val="18"/>
              </w:rPr>
              <w:lastRenderedPageBreak/>
              <w:t>de Transparencia y Acceso a la Información Pública del Estado de Jalisco y sus Municipios</w:t>
            </w:r>
          </w:p>
        </w:tc>
      </w:tr>
      <w:bookmarkEnd w:id="0"/>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C5C43" w:rsidP="002A1A49">
      <w:pPr>
        <w:rPr>
          <w:rFonts w:cs="Arial"/>
          <w:sz w:val="24"/>
          <w:szCs w:val="24"/>
        </w:rPr>
      </w:pPr>
      <w:r>
        <w:rPr>
          <w:rFonts w:cs="Arial"/>
          <w:b/>
          <w:sz w:val="24"/>
          <w:szCs w:val="24"/>
        </w:rPr>
        <w:t>5</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F3022A" w:rsidRPr="008D76C6" w:rsidRDefault="00F3022A" w:rsidP="002A1A49">
      <w:pPr>
        <w:rPr>
          <w:rFonts w:cs="Arial"/>
          <w:sz w:val="24"/>
          <w:szCs w:val="24"/>
        </w:rPr>
      </w:pPr>
    </w:p>
    <w:p w:rsidR="00165653" w:rsidRPr="002A1A49" w:rsidRDefault="00165653" w:rsidP="002A1A49">
      <w:pPr>
        <w:rPr>
          <w:rFonts w:cs="Arial"/>
          <w:b/>
          <w:sz w:val="24"/>
          <w:szCs w:val="24"/>
        </w:rPr>
      </w:pPr>
    </w:p>
    <w:p w:rsidR="002A1A49" w:rsidRDefault="00CC5C43" w:rsidP="002A1A49">
      <w:pPr>
        <w:rPr>
          <w:rFonts w:cs="Arial"/>
          <w:sz w:val="24"/>
          <w:szCs w:val="24"/>
        </w:rPr>
      </w:pPr>
      <w:r>
        <w:rPr>
          <w:rFonts w:cs="Arial"/>
          <w:b/>
          <w:sz w:val="24"/>
          <w:szCs w:val="24"/>
        </w:rPr>
        <w:t>6</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CC5C43">
        <w:rPr>
          <w:rFonts w:cs="Arial"/>
          <w:sz w:val="24"/>
          <w:szCs w:val="24"/>
        </w:rPr>
        <w:t>16</w:t>
      </w:r>
      <w:r w:rsidR="006E3B3C">
        <w:rPr>
          <w:rFonts w:cs="Arial"/>
          <w:sz w:val="24"/>
          <w:szCs w:val="24"/>
        </w:rPr>
        <w:t xml:space="preserve"> de Junio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4">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6"/>
  </w:num>
  <w:num w:numId="3">
    <w:abstractNumId w:val="5"/>
  </w:num>
  <w:num w:numId="4">
    <w:abstractNumId w:val="2"/>
  </w:num>
  <w:num w:numId="5">
    <w:abstractNumId w:val="0"/>
  </w:num>
  <w:num w:numId="6">
    <w:abstractNumId w:val="9"/>
  </w:num>
  <w:num w:numId="7">
    <w:abstractNumId w:val="4"/>
  </w:num>
  <w:num w:numId="8">
    <w:abstractNumId w:val="8"/>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C3B1D"/>
    <w:rsid w:val="001F0200"/>
    <w:rsid w:val="0024292A"/>
    <w:rsid w:val="0024761E"/>
    <w:rsid w:val="00274D21"/>
    <w:rsid w:val="002A1A49"/>
    <w:rsid w:val="002A5630"/>
    <w:rsid w:val="002C19D3"/>
    <w:rsid w:val="002C3BA2"/>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4D44FC"/>
    <w:rsid w:val="004D58E2"/>
    <w:rsid w:val="005025A9"/>
    <w:rsid w:val="005116A4"/>
    <w:rsid w:val="00572FBE"/>
    <w:rsid w:val="00591A8F"/>
    <w:rsid w:val="005A7582"/>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D76C6"/>
    <w:rsid w:val="008E2338"/>
    <w:rsid w:val="00906C9C"/>
    <w:rsid w:val="0091502C"/>
    <w:rsid w:val="00950FE8"/>
    <w:rsid w:val="00981F0F"/>
    <w:rsid w:val="00990AAC"/>
    <w:rsid w:val="009B6CB7"/>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C5C43"/>
    <w:rsid w:val="00CC76F6"/>
    <w:rsid w:val="00CE17D5"/>
    <w:rsid w:val="00CF215E"/>
    <w:rsid w:val="00D72F04"/>
    <w:rsid w:val="00D77A58"/>
    <w:rsid w:val="00DD2049"/>
    <w:rsid w:val="00DE7C69"/>
    <w:rsid w:val="00E21673"/>
    <w:rsid w:val="00E34126"/>
    <w:rsid w:val="00E423D3"/>
    <w:rsid w:val="00E446EE"/>
    <w:rsid w:val="00E474A2"/>
    <w:rsid w:val="00ED0F84"/>
    <w:rsid w:val="00EE02B0"/>
    <w:rsid w:val="00EF1B0D"/>
    <w:rsid w:val="00F00664"/>
    <w:rsid w:val="00F057F7"/>
    <w:rsid w:val="00F3022A"/>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2719</Words>
  <Characters>14959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4</cp:revision>
  <cp:lastPrinted>2016-06-10T02:35:00Z</cp:lastPrinted>
  <dcterms:created xsi:type="dcterms:W3CDTF">2016-06-17T06:49:00Z</dcterms:created>
  <dcterms:modified xsi:type="dcterms:W3CDTF">2016-06-17T07:07:00Z</dcterms:modified>
</cp:coreProperties>
</file>